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ascii="Times New Roman" w:hAnsi="Times New Roman" w:eastAsia="黑体" w:cs="仿宋_GB2312"/>
          <w:color w:val="auto"/>
          <w:sz w:val="33"/>
          <w:szCs w:val="33"/>
          <w:u w:val="none"/>
        </w:rPr>
      </w:pPr>
    </w:p>
    <w:p>
      <w:pPr>
        <w:widowControl/>
        <w:shd w:val="clear" w:color="auto" w:fill="FFFFFF"/>
        <w:spacing w:line="560" w:lineRule="exact"/>
        <w:jc w:val="center"/>
        <w:rPr>
          <w:rFonts w:hint="eastAsia" w:ascii="方正小标宋简体" w:hAnsi="宋体" w:eastAsia="方正小标宋简体" w:cs="宋体"/>
          <w:color w:val="auto"/>
          <w:sz w:val="44"/>
          <w:szCs w:val="44"/>
          <w:u w:val="none"/>
          <w:shd w:val="clear" w:color="auto" w:fill="FFFFFF"/>
        </w:rPr>
      </w:pPr>
      <w:r>
        <w:rPr>
          <w:rFonts w:hint="eastAsia" w:ascii="方正小标宋简体" w:hAnsi="宋体" w:eastAsia="方正小标宋简体" w:cs="宋体"/>
          <w:color w:val="auto"/>
          <w:sz w:val="44"/>
          <w:szCs w:val="44"/>
          <w:u w:val="none"/>
          <w:shd w:val="clear" w:color="auto" w:fill="FFFFFF"/>
        </w:rPr>
        <w:t>邯郸市</w:t>
      </w:r>
      <w:r>
        <w:rPr>
          <w:rFonts w:hint="eastAsia" w:ascii="方正小标宋简体" w:hAnsi="Times New Roman" w:eastAsia="方正小标宋简体"/>
          <w:color w:val="auto"/>
          <w:sz w:val="44"/>
          <w:szCs w:val="44"/>
          <w:u w:val="none"/>
          <w:shd w:val="clear" w:color="auto" w:fill="FFFFFF"/>
        </w:rPr>
        <w:t>202</w:t>
      </w:r>
      <w:r>
        <w:rPr>
          <w:rFonts w:hint="eastAsia" w:ascii="方正小标宋简体" w:hAnsi="Times New Roman" w:eastAsia="方正小标宋简体"/>
          <w:color w:val="auto"/>
          <w:sz w:val="44"/>
          <w:szCs w:val="44"/>
          <w:u w:val="none"/>
          <w:shd w:val="clear" w:color="auto" w:fill="FFFFFF"/>
          <w:lang w:val="en-US" w:eastAsia="zh-CN"/>
        </w:rPr>
        <w:t>2</w:t>
      </w:r>
      <w:r>
        <w:rPr>
          <w:rFonts w:hint="eastAsia" w:ascii="方正小标宋简体" w:hAnsi="宋体" w:eastAsia="方正小标宋简体" w:cs="宋体"/>
          <w:color w:val="auto"/>
          <w:sz w:val="44"/>
          <w:szCs w:val="44"/>
          <w:u w:val="none"/>
          <w:shd w:val="clear" w:color="auto" w:fill="FFFFFF"/>
        </w:rPr>
        <w:t>年度社会科学规划课题指南</w:t>
      </w:r>
    </w:p>
    <w:p>
      <w:pPr>
        <w:shd w:val="clear" w:color="auto" w:fill="FFFFFF"/>
        <w:topLinePunct/>
        <w:spacing w:line="570" w:lineRule="exact"/>
        <w:ind w:firstLine="640" w:firstLineChars="200"/>
        <w:rPr>
          <w:rFonts w:ascii="Times New Roman" w:hAnsi="Times New Roman" w:eastAsia="方正仿宋_GBK" w:cs="宋体"/>
          <w:color w:val="auto"/>
          <w:kern w:val="0"/>
          <w:sz w:val="32"/>
          <w:szCs w:val="32"/>
          <w:u w:val="none"/>
        </w:rPr>
      </w:pP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40" w:lineRule="exact"/>
        <w:ind w:left="0" w:leftChars="0" w:firstLine="640" w:firstLineChars="200"/>
        <w:jc w:val="both"/>
        <w:textAlignment w:val="auto"/>
        <w:rPr>
          <w:rFonts w:hint="eastAsia" w:ascii="仿宋_GB2312" w:hAnsi="仿宋_GB2312" w:eastAsia="仿宋_GB2312" w:cs="仿宋_GB2312"/>
          <w:sz w:val="32"/>
          <w:szCs w:val="32"/>
          <w:u w:val="none"/>
          <w:shd w:val="clear" w:color="auto" w:fill="FFFFFF"/>
          <w:lang w:eastAsia="zh-CN"/>
        </w:rPr>
      </w:pPr>
      <w:r>
        <w:rPr>
          <w:rFonts w:hint="eastAsia" w:ascii="仿宋_GB2312" w:hAnsi="仿宋_GB2312" w:eastAsia="仿宋_GB2312" w:cs="仿宋_GB2312"/>
          <w:sz w:val="32"/>
          <w:szCs w:val="32"/>
          <w:u w:val="none"/>
        </w:rPr>
        <w:t>本指南所列条目为重点研究领域和方向，申报者</w:t>
      </w:r>
      <w:r>
        <w:rPr>
          <w:rFonts w:hint="eastAsia" w:ascii="仿宋_GB2312" w:hAnsi="仿宋_GB2312" w:eastAsia="仿宋_GB2312" w:cs="仿宋_GB2312"/>
          <w:sz w:val="32"/>
          <w:szCs w:val="32"/>
          <w:u w:val="none"/>
          <w:shd w:val="clear" w:color="auto" w:fill="FFFFFF"/>
          <w:lang w:eastAsia="zh-CN"/>
        </w:rPr>
        <w:t>依据选题方向，结合自己的学术专长和研究基础，坚持“立足邯郸、研究邯郸、服务邯郸”，拟定更加具体的申报选题。选题要体现鲜明的时代特征、问题导向和创新意识，围绕邯郸经济社会发展需要，聚焦全局性、战略性和前瞻性的重大理论与实践问题，具有现实性、针对性和较强的决策参考价值。</w:t>
      </w:r>
    </w:p>
    <w:p>
      <w:pPr>
        <w:keepNext w:val="0"/>
        <w:keepLines w:val="0"/>
        <w:pageBreakBefore w:val="0"/>
        <w:widowControl/>
        <w:kinsoku/>
        <w:wordWrap/>
        <w:overflowPunct/>
        <w:autoSpaceDE/>
        <w:autoSpaceDN/>
        <w:bidi w:val="0"/>
        <w:spacing w:line="540" w:lineRule="exact"/>
        <w:ind w:left="0" w:leftChars="0" w:firstLine="640" w:firstLineChars="200"/>
        <w:textAlignment w:val="auto"/>
        <w:rPr>
          <w:rFonts w:hint="eastAsia" w:ascii="方正黑体_GBK" w:hAnsi="方正黑体_GBK" w:eastAsia="方正黑体_GBK" w:cs="方正黑体_GBK"/>
          <w:b w:val="0"/>
          <w:bCs w:val="0"/>
          <w:kern w:val="0"/>
          <w:sz w:val="32"/>
          <w:szCs w:val="32"/>
          <w:u w:val="none"/>
          <w:shd w:val="clear" w:color="auto" w:fill="FFFFFF"/>
        </w:rPr>
      </w:pPr>
      <w:r>
        <w:rPr>
          <w:rFonts w:hint="eastAsia" w:ascii="方正黑体_GBK" w:hAnsi="方正黑体_GBK" w:eastAsia="方正黑体_GBK" w:cs="方正黑体_GBK"/>
          <w:b w:val="0"/>
          <w:bCs w:val="0"/>
          <w:color w:val="auto"/>
          <w:kern w:val="0"/>
          <w:sz w:val="32"/>
          <w:szCs w:val="32"/>
          <w:u w:val="none"/>
        </w:rPr>
        <w:t>一、</w:t>
      </w:r>
      <w:r>
        <w:rPr>
          <w:rStyle w:val="10"/>
          <w:rFonts w:hint="eastAsia" w:ascii="方正黑体_GBK" w:hAnsi="方正黑体_GBK" w:eastAsia="方正黑体_GBK" w:cs="方正黑体_GBK"/>
          <w:b w:val="0"/>
          <w:bCs w:val="0"/>
          <w:kern w:val="0"/>
          <w:sz w:val="32"/>
          <w:szCs w:val="32"/>
          <w:u w:val="none"/>
          <w:shd w:val="clear" w:color="auto" w:fill="FFFFFF"/>
        </w:rPr>
        <w:t>政治、党建、制度建设</w:t>
      </w:r>
    </w:p>
    <w:p>
      <w:pPr>
        <w:keepNext w:val="0"/>
        <w:keepLines w:val="0"/>
        <w:pageBreakBefore w:val="0"/>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习近平新时代中国特色社会主义思想在邯郸的实践研究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习近平关于新发展阶段、新发展理念、新发展格局重要论述研究</w:t>
      </w:r>
      <w:r>
        <w:rPr>
          <w:rFonts w:hint="eastAsia" w:ascii="仿宋_GB2312" w:hAnsi="仿宋_GB2312" w:eastAsia="仿宋_GB2312" w:cs="仿宋_GB2312"/>
          <w:sz w:val="32"/>
          <w:szCs w:val="32"/>
          <w:u w:val="none"/>
          <w:lang w:eastAsia="zh-CN"/>
        </w:rPr>
        <w:t>阐释</w:t>
      </w:r>
    </w:p>
    <w:p>
      <w:pPr>
        <w:keepNext w:val="0"/>
        <w:keepLines w:val="0"/>
        <w:pageBreakBefore w:val="0"/>
        <w:widowControl/>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习近平关于构建中国特色哲学社会科学重要论述研究</w:t>
      </w:r>
      <w:r>
        <w:rPr>
          <w:rFonts w:hint="eastAsia" w:ascii="仿宋_GB2312" w:hAnsi="仿宋_GB2312" w:eastAsia="仿宋_GB2312" w:cs="仿宋_GB2312"/>
          <w:sz w:val="32"/>
          <w:szCs w:val="32"/>
          <w:u w:val="none"/>
          <w:lang w:eastAsia="zh-CN"/>
        </w:rPr>
        <w:t>阐释</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习近平关于</w:t>
      </w:r>
      <w:r>
        <w:rPr>
          <w:rFonts w:hint="eastAsia" w:ascii="仿宋_GB2312" w:hAnsi="仿宋_GB2312" w:eastAsia="仿宋_GB2312" w:cs="仿宋_GB2312"/>
          <w:sz w:val="32"/>
          <w:szCs w:val="32"/>
          <w:u w:val="none"/>
        </w:rPr>
        <w:t>传承弘扬中华优秀传统文化重要论述研究</w:t>
      </w:r>
      <w:r>
        <w:rPr>
          <w:rFonts w:hint="eastAsia" w:ascii="仿宋_GB2312" w:hAnsi="仿宋_GB2312" w:eastAsia="仿宋_GB2312" w:cs="仿宋_GB2312"/>
          <w:sz w:val="32"/>
          <w:szCs w:val="32"/>
          <w:u w:val="none"/>
          <w:lang w:eastAsia="zh-CN"/>
        </w:rPr>
        <w:t>阐释</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习近平关于意识形态工作重要论述研究阐释</w:t>
      </w:r>
    </w:p>
    <w:p>
      <w:pPr>
        <w:keepNext w:val="0"/>
        <w:keepLines w:val="0"/>
        <w:pageBreakBefore w:val="0"/>
        <w:widowControl/>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习近平关于国家安全重要论述研究</w:t>
      </w:r>
      <w:r>
        <w:rPr>
          <w:rFonts w:hint="eastAsia" w:ascii="仿宋_GB2312" w:hAnsi="仿宋_GB2312" w:eastAsia="仿宋_GB2312" w:cs="仿宋_GB2312"/>
          <w:sz w:val="32"/>
          <w:szCs w:val="32"/>
          <w:u w:val="none"/>
          <w:lang w:eastAsia="zh-CN"/>
        </w:rPr>
        <w:t>阐释</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习近平关于推进</w:t>
      </w:r>
      <w:r>
        <w:rPr>
          <w:rFonts w:hint="eastAsia" w:ascii="仿宋_GB2312" w:hAnsi="仿宋_GB2312" w:eastAsia="仿宋_GB2312" w:cs="仿宋_GB2312"/>
          <w:sz w:val="32"/>
          <w:szCs w:val="32"/>
          <w:u w:val="none"/>
        </w:rPr>
        <w:t>国家治理体系和治理能力现代化</w:t>
      </w:r>
      <w:r>
        <w:rPr>
          <w:rFonts w:hint="eastAsia" w:ascii="仿宋_GB2312" w:hAnsi="仿宋_GB2312" w:eastAsia="仿宋_GB2312" w:cs="仿宋_GB2312"/>
          <w:sz w:val="32"/>
          <w:szCs w:val="32"/>
          <w:u w:val="none"/>
          <w:lang w:eastAsia="zh-CN"/>
        </w:rPr>
        <w:t>重要论述研究阐释</w:t>
      </w:r>
    </w:p>
    <w:p>
      <w:pPr>
        <w:keepNext w:val="0"/>
        <w:keepLines w:val="0"/>
        <w:pageBreakBefore w:val="0"/>
        <w:widowControl/>
        <w:suppressLineNumbers w:val="0"/>
        <w:kinsoku/>
        <w:wordWrap/>
        <w:overflowPunct/>
        <w:autoSpaceDE/>
        <w:autoSpaceDN/>
        <w:bidi w:val="0"/>
        <w:spacing w:line="540" w:lineRule="exact"/>
        <w:ind w:left="0" w:leftChars="0"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191919"/>
          <w:spacing w:val="0"/>
          <w:kern w:val="0"/>
          <w:sz w:val="32"/>
          <w:szCs w:val="32"/>
          <w:u w:val="none"/>
          <w:shd w:val="clear" w:fill="FFFFFF"/>
          <w:lang w:val="en-US" w:eastAsia="zh-CN" w:bidi="ar"/>
        </w:rPr>
        <w:t>建立党史学习教育常态化、长效化机制研究</w:t>
      </w:r>
    </w:p>
    <w:p>
      <w:pPr>
        <w:keepNext w:val="0"/>
        <w:keepLines w:val="0"/>
        <w:pageBreakBefore w:val="0"/>
        <w:widowControl/>
        <w:suppressLineNumbers w:val="0"/>
        <w:kinsoku/>
        <w:wordWrap/>
        <w:overflowPunct/>
        <w:autoSpaceDE/>
        <w:autoSpaceDN/>
        <w:bidi w:val="0"/>
        <w:spacing w:line="540" w:lineRule="exact"/>
        <w:ind w:left="0" w:leftChars="0"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000000"/>
          <w:spacing w:val="0"/>
          <w:kern w:val="0"/>
          <w:sz w:val="32"/>
          <w:szCs w:val="32"/>
          <w:u w:val="none"/>
          <w:lang w:val="en-US" w:eastAsia="zh-CN" w:bidi="ar"/>
        </w:rPr>
        <w:t>不断巩固和拓展党史学习教育成果研究</w:t>
      </w:r>
    </w:p>
    <w:p>
      <w:pPr>
        <w:keepNext w:val="0"/>
        <w:keepLines w:val="0"/>
        <w:pageBreakBefore w:val="0"/>
        <w:widowControl/>
        <w:suppressLineNumbers w:val="0"/>
        <w:kinsoku/>
        <w:wordWrap/>
        <w:overflowPunct/>
        <w:autoSpaceDE/>
        <w:autoSpaceDN/>
        <w:bidi w:val="0"/>
        <w:spacing w:line="540" w:lineRule="exact"/>
        <w:ind w:left="0" w:leftChars="0"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caps w:val="0"/>
          <w:color w:val="000000"/>
          <w:spacing w:val="0"/>
          <w:kern w:val="0"/>
          <w:sz w:val="32"/>
          <w:szCs w:val="32"/>
          <w:u w:val="none"/>
          <w:lang w:val="en-US" w:eastAsia="zh-CN" w:bidi="ar"/>
        </w:rPr>
        <w:t>走好走实新时代党的群众路线邯郸实践研究</w:t>
      </w:r>
    </w:p>
    <w:p>
      <w:pPr>
        <w:keepNext w:val="0"/>
        <w:keepLines w:val="0"/>
        <w:pageBreakBefore w:val="0"/>
        <w:kinsoku/>
        <w:wordWrap/>
        <w:overflowPunct/>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kern w:val="0"/>
          <w:sz w:val="32"/>
          <w:szCs w:val="32"/>
          <w:u w:val="none"/>
          <w:lang w:val="en-US" w:eastAsia="zh-CN"/>
        </w:rPr>
        <w:t>弘扬伟大建党精神，赓续红色血脉研究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kern w:val="0"/>
          <w:sz w:val="32"/>
          <w:szCs w:val="32"/>
          <w:u w:val="none"/>
          <w:lang w:val="en-US" w:eastAsia="zh-CN"/>
        </w:rPr>
      </w:pPr>
      <w:r>
        <w:rPr>
          <w:rFonts w:hint="eastAsia" w:ascii="仿宋_GB2312" w:hAnsi="仿宋_GB2312" w:eastAsia="仿宋_GB2312" w:cs="仿宋_GB2312"/>
          <w:sz w:val="32"/>
          <w:szCs w:val="32"/>
          <w:u w:val="none"/>
          <w:lang w:val="en-US" w:eastAsia="zh-CN"/>
        </w:rPr>
        <w:t>邯郸</w:t>
      </w:r>
      <w:r>
        <w:rPr>
          <w:rFonts w:hint="eastAsia" w:ascii="仿宋_GB2312" w:hAnsi="仿宋_GB2312" w:eastAsia="仿宋_GB2312" w:cs="仿宋_GB2312"/>
          <w:kern w:val="0"/>
          <w:sz w:val="32"/>
          <w:szCs w:val="32"/>
          <w:u w:val="none"/>
          <w:lang w:val="en-US" w:eastAsia="zh-CN"/>
        </w:rPr>
        <w:t>机关党建高质量发展研究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邯郸</w:t>
      </w:r>
      <w:r>
        <w:rPr>
          <w:rFonts w:hint="eastAsia" w:ascii="仿宋_GB2312" w:hAnsi="仿宋_GB2312" w:eastAsia="仿宋_GB2312" w:cs="仿宋_GB2312"/>
          <w:sz w:val="32"/>
          <w:szCs w:val="32"/>
          <w:u w:val="none"/>
        </w:rPr>
        <w:t>高校党建</w:t>
      </w:r>
      <w:r>
        <w:rPr>
          <w:rFonts w:hint="eastAsia" w:ascii="仿宋_GB2312" w:hAnsi="仿宋_GB2312" w:eastAsia="仿宋_GB2312" w:cs="仿宋_GB2312"/>
          <w:sz w:val="32"/>
          <w:szCs w:val="32"/>
          <w:u w:val="none"/>
          <w:lang w:eastAsia="zh-CN"/>
        </w:rPr>
        <w:t>高质量发展</w:t>
      </w:r>
      <w:r>
        <w:rPr>
          <w:rFonts w:hint="eastAsia" w:ascii="仿宋_GB2312" w:hAnsi="仿宋_GB2312" w:eastAsia="仿宋_GB2312" w:cs="仿宋_GB2312"/>
          <w:sz w:val="32"/>
          <w:szCs w:val="32"/>
          <w:u w:val="none"/>
        </w:rPr>
        <w:t>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val="en-US" w:eastAsia="zh-CN"/>
        </w:rPr>
        <w:t>邯郸</w:t>
      </w:r>
      <w:r>
        <w:rPr>
          <w:rFonts w:hint="eastAsia" w:ascii="仿宋_GB2312" w:hAnsi="仿宋_GB2312" w:eastAsia="仿宋_GB2312" w:cs="仿宋_GB2312"/>
          <w:sz w:val="32"/>
          <w:szCs w:val="32"/>
          <w:u w:val="none"/>
          <w:lang w:eastAsia="zh-CN"/>
        </w:rPr>
        <w:t>社会组织党建工作研究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邯郸提升基层党组织组织力研究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新时期推进党建与业务深度融合研究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推进法治邯郸、法治政府、法治社会建设研究</w:t>
      </w:r>
    </w:p>
    <w:p>
      <w:pPr>
        <w:keepNext w:val="0"/>
        <w:keepLines w:val="0"/>
        <w:pageBreakBefore w:val="0"/>
        <w:kinsoku/>
        <w:wordWrap/>
        <w:overflowPunct/>
        <w:autoSpaceDE/>
        <w:autoSpaceDN/>
        <w:bidi w:val="0"/>
        <w:adjustRightInd w:val="0"/>
        <w:snapToGrid w:val="0"/>
        <w:spacing w:line="540" w:lineRule="exact"/>
        <w:ind w:left="0" w:leftChars="0" w:firstLine="640" w:firstLineChars="200"/>
        <w:textAlignment w:val="auto"/>
        <w:rPr>
          <w:rFonts w:hint="eastAsia" w:ascii="Times New Roman" w:hAnsi="Times New Roman" w:eastAsia="方正黑体_GBK" w:cs="宋体"/>
          <w:color w:val="auto"/>
          <w:kern w:val="0"/>
          <w:sz w:val="32"/>
          <w:szCs w:val="32"/>
          <w:u w:val="none"/>
          <w:lang w:eastAsia="zh-CN"/>
        </w:rPr>
      </w:pPr>
      <w:r>
        <w:rPr>
          <w:rFonts w:hint="eastAsia" w:ascii="Times New Roman" w:hAnsi="Times New Roman" w:eastAsia="方正黑体_GBK" w:cs="宋体"/>
          <w:color w:val="auto"/>
          <w:kern w:val="0"/>
          <w:sz w:val="32"/>
          <w:szCs w:val="32"/>
          <w:u w:val="none"/>
        </w:rPr>
        <w:t>二、</w:t>
      </w:r>
      <w:r>
        <w:rPr>
          <w:rFonts w:hint="eastAsia" w:ascii="Times New Roman" w:hAnsi="Times New Roman" w:eastAsia="方正黑体_GBK" w:cs="宋体"/>
          <w:color w:val="auto"/>
          <w:kern w:val="0"/>
          <w:sz w:val="32"/>
          <w:szCs w:val="32"/>
          <w:u w:val="none"/>
          <w:lang w:eastAsia="zh-CN"/>
        </w:rPr>
        <w:t>应用对策研究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“六个中心”（区域经济中心、科技创新中心、交通枢纽中心、文化旅游中心、商贸物流中心、教育医疗中心）建设重大理论和现实问题研究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邯郸加快融入全省“两翼两区三群六带”发展布局研究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提升区域中心城市发展能级，加快建设京津冀世界级城市群区域中心城市研究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加快建设国家创新型城市，打造国家级科技创新平台研究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邯郸经济社会高质量发展研究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邯郸加快构建现代化经济体系研究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优化邯郸城市发展空间格局，提升城市发展能级和综合竞争力研究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提升高质量投资和项目建设研究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招商大数据平台建设及应用研究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招商引资实效问题研究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邯郸市主导产业链精准招商对策研究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进一步加快“532”主导产业发展步伐，构建现代产业体系研究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推动产业全链条发展研究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加快实施战略性新兴产业集群发展研究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深化邯郸数字经济与实体经济高度融合研究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现代服务业创新发展研究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邯郸物流体系建设研究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邯郸深入实施人才强市战略、创新驱动发展战略研究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基于京津冀协同创新共同体建设的邯郸市创新创业体系构建与发展研究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加强高层次人才培养和引进研究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深化邯郸科技体制改革研究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高水平区域科技创新中心、高能级创新平台建设研究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加速多领域科技成果转化研究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提升邯郸企业科技创新能力和竞争力研究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持续推动城市更新，提升城市精细化管理水平研究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全面推进乡村振兴战略，加快实现邯郸农业农村现代化研究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乡村治理现代化与乡村振兴研究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乡村振兴中集体经济发展的策略研究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推动农业规模化、产业化、绿色化、品牌化研究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大力发展设施农业、高效农业、绿色农业、品牌农业，培育新型农业经营主体研究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深化乡村法治、德治建设，培育文明乡风、良好家风、淳朴民风研究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深化重点领域改革研究</w:t>
      </w:r>
    </w:p>
    <w:p>
      <w:pPr>
        <w:keepNext w:val="0"/>
        <w:keepLines w:val="0"/>
        <w:pageBreakBefore w:val="0"/>
        <w:widowControl w:val="0"/>
        <w:shd w:val="clear" w:color="auto" w:fill="FFFFFF"/>
        <w:kinsoku/>
        <w:wordWrap/>
        <w:overflowPunct/>
        <w:topLinePunct/>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持续扩大高水平对外开放研究</w:t>
      </w:r>
    </w:p>
    <w:p>
      <w:pPr>
        <w:keepNext w:val="0"/>
        <w:keepLines w:val="0"/>
        <w:pageBreakBefore w:val="0"/>
        <w:widowControl w:val="0"/>
        <w:shd w:val="clear" w:color="auto" w:fill="FFFFFF"/>
        <w:kinsoku/>
        <w:wordWrap/>
        <w:overflowPunct/>
        <w:topLinePunct/>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进一步优化营商环境,</w:t>
      </w:r>
      <w:r>
        <w:rPr>
          <w:rFonts w:hint="eastAsia" w:ascii="仿宋_GB2312" w:hAnsi="仿宋_GB2312" w:eastAsia="仿宋_GB2312" w:cs="仿宋_GB2312"/>
          <w:color w:val="auto"/>
          <w:sz w:val="32"/>
          <w:szCs w:val="32"/>
          <w:u w:val="none"/>
          <w:lang w:eastAsia="zh-CN"/>
        </w:rPr>
        <w:t>激发各类市场主体活力研究</w:t>
      </w:r>
    </w:p>
    <w:p>
      <w:pPr>
        <w:keepNext w:val="0"/>
        <w:keepLines w:val="0"/>
        <w:pageBreakBefore w:val="0"/>
        <w:widowControl w:val="0"/>
        <w:shd w:val="clear" w:color="auto" w:fill="FFFFFF"/>
        <w:kinsoku/>
        <w:wordWrap/>
        <w:overflowPunct/>
        <w:topLinePunct/>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邯郸加速民生改善、推动共享发展重大理论和现实问题研究</w:t>
      </w:r>
    </w:p>
    <w:p>
      <w:pPr>
        <w:keepNext w:val="0"/>
        <w:keepLines w:val="0"/>
        <w:pageBreakBefore w:val="0"/>
        <w:widowControl w:val="0"/>
        <w:shd w:val="clear" w:color="auto" w:fill="FFFFFF"/>
        <w:kinsoku/>
        <w:wordWrap/>
        <w:overflowPunct/>
        <w:topLinePunct/>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全面提升就业质量研究</w:t>
      </w:r>
    </w:p>
    <w:p>
      <w:pPr>
        <w:keepNext w:val="0"/>
        <w:keepLines w:val="0"/>
        <w:pageBreakBefore w:val="0"/>
        <w:widowControl w:val="0"/>
        <w:shd w:val="clear" w:color="auto" w:fill="FFFFFF"/>
        <w:kinsoku/>
        <w:wordWrap/>
        <w:overflowPunct/>
        <w:topLinePunct/>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提升教育、医疗、养老、住房、生育等社会保障水平研究</w:t>
      </w:r>
    </w:p>
    <w:p>
      <w:pPr>
        <w:keepNext w:val="0"/>
        <w:keepLines w:val="0"/>
        <w:pageBreakBefore w:val="0"/>
        <w:widowControl w:val="0"/>
        <w:shd w:val="clear" w:color="auto" w:fill="FFFFFF"/>
        <w:kinsoku/>
        <w:wordWrap/>
        <w:overflowPunct/>
        <w:topLinePunct/>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提升教育、医疗、文化等公共服务供给质量研究</w:t>
      </w:r>
    </w:p>
    <w:p>
      <w:pPr>
        <w:keepNext w:val="0"/>
        <w:keepLines w:val="0"/>
        <w:pageBreakBefore w:val="0"/>
        <w:widowControl w:val="0"/>
        <w:shd w:val="clear" w:color="auto" w:fill="FFFFFF"/>
        <w:kinsoku/>
        <w:wordWrap/>
        <w:overflowPunct/>
        <w:topLinePunct/>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推进学前教育优质普惠发展、义务教育优质均衡发展、高中教育优质特色发展、职业教育产教融合发展、高等教育高质量发展研究</w:t>
      </w:r>
    </w:p>
    <w:p>
      <w:pPr>
        <w:keepNext w:val="0"/>
        <w:keepLines w:val="0"/>
        <w:pageBreakBefore w:val="0"/>
        <w:widowControl w:val="0"/>
        <w:shd w:val="clear" w:color="auto" w:fill="FFFFFF"/>
        <w:kinsoku/>
        <w:wordWrap/>
        <w:overflowPunct/>
        <w:topLinePunct/>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促进中医药传承创新发展研究</w:t>
      </w:r>
    </w:p>
    <w:p>
      <w:pPr>
        <w:keepNext w:val="0"/>
        <w:keepLines w:val="0"/>
        <w:pageBreakBefore w:val="0"/>
        <w:widowControl w:val="0"/>
        <w:shd w:val="clear" w:color="auto" w:fill="FFFFFF"/>
        <w:kinsoku/>
        <w:wordWrap/>
        <w:overflowPunct/>
        <w:topLinePunct/>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有效防范重点领域风险研究</w:t>
      </w:r>
    </w:p>
    <w:p>
      <w:pPr>
        <w:keepNext w:val="0"/>
        <w:keepLines w:val="0"/>
        <w:pageBreakBefore w:val="0"/>
        <w:widowControl w:val="0"/>
        <w:shd w:val="clear" w:color="auto" w:fill="FFFFFF"/>
        <w:kinsoku/>
        <w:wordWrap/>
        <w:overflowPunct/>
        <w:topLinePunct/>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县域特色产业提升对策研究</w:t>
      </w:r>
    </w:p>
    <w:p>
      <w:pPr>
        <w:keepNext w:val="0"/>
        <w:keepLines w:val="0"/>
        <w:pageBreakBefore w:val="0"/>
        <w:widowControl w:val="0"/>
        <w:shd w:val="clear" w:color="auto" w:fill="FFFFFF"/>
        <w:kinsoku/>
        <w:wordWrap/>
        <w:overflowPunct/>
        <w:topLinePunct/>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培育壮大新型消费，全面释放消费潜力研究</w:t>
      </w:r>
    </w:p>
    <w:p>
      <w:pPr>
        <w:keepNext w:val="0"/>
        <w:keepLines w:val="0"/>
        <w:pageBreakBefore w:val="0"/>
        <w:widowControl w:val="0"/>
        <w:shd w:val="clear" w:color="auto" w:fill="FFFFFF"/>
        <w:kinsoku/>
        <w:wordWrap/>
        <w:overflowPunct/>
        <w:topLinePunct/>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推进碳达峰碳中和路径研究</w:t>
      </w:r>
    </w:p>
    <w:p>
      <w:pPr>
        <w:keepNext w:val="0"/>
        <w:keepLines w:val="0"/>
        <w:pageBreakBefore w:val="0"/>
        <w:widowControl w:val="0"/>
        <w:shd w:val="clear" w:color="auto" w:fill="FFFFFF"/>
        <w:kinsoku/>
        <w:wordWrap/>
        <w:overflowPunct/>
        <w:topLinePunct/>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深入推进污染治理，大幅改善环境质量研究</w:t>
      </w:r>
    </w:p>
    <w:p>
      <w:pPr>
        <w:keepNext w:val="0"/>
        <w:keepLines w:val="0"/>
        <w:pageBreakBefore w:val="0"/>
        <w:widowControl w:val="0"/>
        <w:shd w:val="clear" w:color="auto" w:fill="FFFFFF"/>
        <w:kinsoku/>
        <w:wordWrap/>
        <w:overflowPunct/>
        <w:topLinePunct/>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疫情防控、安全生产、社会治理等领域风险防控研究</w:t>
      </w:r>
    </w:p>
    <w:p>
      <w:pPr>
        <w:keepNext w:val="0"/>
        <w:keepLines w:val="0"/>
        <w:pageBreakBefore w:val="0"/>
        <w:widowControl w:val="0"/>
        <w:shd w:val="clear" w:color="auto" w:fill="FFFFFF"/>
        <w:kinsoku/>
        <w:wordWrap/>
        <w:overflowPunct/>
        <w:topLinePunct/>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打造适老化改造示范小区建设研究</w:t>
      </w:r>
    </w:p>
    <w:p>
      <w:pPr>
        <w:keepNext w:val="0"/>
        <w:keepLines w:val="0"/>
        <w:pageBreakBefore w:val="0"/>
        <w:widowControl w:val="0"/>
        <w:shd w:val="clear" w:color="auto" w:fill="FFFFFF"/>
        <w:kinsoku/>
        <w:wordWrap/>
        <w:overflowPunct/>
        <w:topLinePunct/>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发展健康、养老、家政服务等高品质生活服务业研究</w:t>
      </w:r>
    </w:p>
    <w:p>
      <w:pPr>
        <w:keepNext w:val="0"/>
        <w:keepLines w:val="0"/>
        <w:pageBreakBefore w:val="0"/>
        <w:widowControl w:val="0"/>
        <w:shd w:val="clear" w:color="auto" w:fill="FFFFFF"/>
        <w:kinsoku/>
        <w:wordWrap/>
        <w:overflowPunct/>
        <w:topLinePunct/>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健康医疗大数据研究</w:t>
      </w:r>
    </w:p>
    <w:p>
      <w:pPr>
        <w:keepNext w:val="0"/>
        <w:keepLines w:val="0"/>
        <w:pageBreakBefore w:val="0"/>
        <w:widowControl w:val="0"/>
        <w:shd w:val="clear" w:color="auto" w:fill="FFFFFF"/>
        <w:kinsoku/>
        <w:wordWrap/>
        <w:overflowPunct/>
        <w:topLinePunct/>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加快推动养老事业和康养产业协同发展研究</w:t>
      </w:r>
    </w:p>
    <w:p>
      <w:pPr>
        <w:keepNext w:val="0"/>
        <w:keepLines w:val="0"/>
        <w:pageBreakBefore w:val="0"/>
        <w:widowControl w:val="0"/>
        <w:shd w:val="clear" w:color="auto" w:fill="FFFFFF"/>
        <w:kinsoku/>
        <w:wordWrap/>
        <w:overflowPunct/>
        <w:topLinePunct/>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生态康养产业全市域发展研究</w:t>
      </w:r>
    </w:p>
    <w:p>
      <w:pPr>
        <w:keepNext w:val="0"/>
        <w:keepLines w:val="0"/>
        <w:pageBreakBefore w:val="0"/>
        <w:widowControl w:val="0"/>
        <w:shd w:val="clear" w:color="auto" w:fill="FFFFFF"/>
        <w:kinsoku/>
        <w:wordWrap/>
        <w:overflowPunct/>
        <w:topLinePunct/>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推动社会治理重心下移，夯实基层社会治理基础研究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方正黑体_GBK" w:hAnsi="方正黑体_GBK" w:eastAsia="方正黑体_GBK" w:cs="方正黑体_GBK"/>
          <w:sz w:val="32"/>
          <w:szCs w:val="32"/>
          <w:u w:val="none"/>
          <w:lang w:val="en-US" w:eastAsia="zh-CN"/>
        </w:rPr>
      </w:pPr>
      <w:r>
        <w:rPr>
          <w:rFonts w:hint="eastAsia" w:ascii="方正黑体_GBK" w:hAnsi="方正黑体_GBK" w:eastAsia="方正黑体_GBK" w:cs="方正黑体_GBK"/>
          <w:sz w:val="32"/>
          <w:szCs w:val="32"/>
          <w:u w:val="none"/>
          <w:lang w:val="en-US" w:eastAsia="zh-CN"/>
        </w:rPr>
        <w:t>三、加快文化旅游中心建设</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进一步提升“成语之都·太极之乡”邯郸城市品牌影响力研究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提高邯郸文化凝聚力和向心力研究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提升邯郸文化旅游品牌知名度和产品吸引力研究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增强邯郸文旅产业链和市场影响力研究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加强邯郸文旅基础设施和接待服务力研究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强化文旅融合，增强邯郸文旅产业发展活力研究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邯郸历史文化遗产和传统街区风貌的保护、传承与复兴研究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邯郸成语典故整理、保护、开发、利用和普及研究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打造国际太极拳文化传播交流中心研究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提升邯郸大运河文化核心价值，塑造“古都家园”文化旅游品牌研究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邯郸红色文化遗产挖掘保护与传承研究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邺城文化旅游资源保护、开发和利用研究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深挖响堂石窟文化资源，打造中国石窟艺术交流与体验高地研究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加强磁州窑遗址保护、开发和利用研究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推动全域旅游示范区建设研究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提升邯郸高等级旅游景区建设研究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创建邯郸特色旅游度假区路径研究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邯郸特色旅游休闲街区建设研究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构建以邯郸为中心的旅游交通路网对策研究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培育开发跨区域文化旅游品牌线路研究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强化京津冀文旅产业协同发展，积极融入区域城市文旅融合发展协作机制研究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扩大优质文化旅游产品供给，提升旅游服务力研究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加快推进邯郸文化产业数字化战</w:t>
      </w:r>
      <w:bookmarkStart w:id="0" w:name="_GoBack"/>
      <w:bookmarkEnd w:id="0"/>
      <w:r>
        <w:rPr>
          <w:rFonts w:hint="eastAsia" w:ascii="仿宋_GB2312" w:hAnsi="仿宋_GB2312" w:eastAsia="仿宋_GB2312" w:cs="仿宋_GB2312"/>
          <w:sz w:val="32"/>
          <w:szCs w:val="32"/>
          <w:u w:val="none"/>
          <w:lang w:val="en-US" w:eastAsia="zh-CN"/>
        </w:rPr>
        <w:t>略路径研究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推进文化和旅游数字化、网络化、智能化发展研究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基层综合性文化服务中心建设研究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加快邯郸文化产业化发展对策研究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加快邯郸文化资源产业化转型研究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文化产业与其他产业融合发展研究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文化创意产业创新发展研究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加快发展新型文化企业、文化业态、文化消费模式研究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邯郸文化消费市场及消费模式研究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深化群众性精神文明创建研究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市民文明素质常态化提升研究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加快建设现代化新兴主流媒体，推动形成全媒体传播体系研究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“融媒体”视域下文化产业的城市品牌传播研究</w:t>
      </w:r>
    </w:p>
    <w:p>
      <w:pPr>
        <w:keepNext w:val="0"/>
        <w:keepLines w:val="0"/>
        <w:pageBreakBefore w:val="0"/>
        <w:shd w:val="clear" w:color="auto" w:fill="FFFFFF"/>
        <w:kinsoku/>
        <w:wordWrap/>
        <w:overflowPunct/>
        <w:topLinePunct/>
        <w:autoSpaceDE/>
        <w:autoSpaceDN/>
        <w:bidi w:val="0"/>
        <w:spacing w:line="540" w:lineRule="exact"/>
        <w:ind w:left="0" w:leftChars="0" w:firstLine="640" w:firstLineChars="200"/>
        <w:textAlignment w:val="auto"/>
        <w:rPr>
          <w:rFonts w:hint="eastAsia" w:ascii="方正黑体_GBK" w:hAnsi="方正黑体_GBK" w:eastAsia="方正黑体_GBK" w:cs="方正黑体_GBK"/>
          <w:sz w:val="32"/>
          <w:szCs w:val="32"/>
          <w:u w:val="none"/>
          <w:lang w:val="en-US" w:eastAsia="zh-CN"/>
        </w:rPr>
      </w:pPr>
      <w:r>
        <w:rPr>
          <w:rFonts w:hint="eastAsia" w:ascii="方正黑体_GBK" w:hAnsi="方正黑体_GBK" w:eastAsia="方正黑体_GBK" w:cs="方正黑体_GBK"/>
          <w:sz w:val="32"/>
          <w:szCs w:val="32"/>
          <w:u w:val="none"/>
          <w:lang w:val="en-US" w:eastAsia="zh-CN"/>
        </w:rPr>
        <w:t>四、加强党风廉政建设联合课题</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邯郸政治生态建设研究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邯郸历史文化与廉政建设发展及相互影响研究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val="en-US" w:eastAsia="zh-CN"/>
        </w:rPr>
        <w:t>挖掘邯郸历史传统文化廉洁基因和优秀廉政文化因素，打造特色</w:t>
      </w:r>
      <w:r>
        <w:rPr>
          <w:rFonts w:hint="eastAsia" w:ascii="仿宋_GB2312" w:hAnsi="仿宋_GB2312" w:eastAsia="仿宋_GB2312" w:cs="仿宋_GB2312"/>
          <w:sz w:val="32"/>
          <w:szCs w:val="32"/>
          <w:u w:val="none"/>
          <w:lang w:eastAsia="zh-CN"/>
        </w:rPr>
        <w:t>廉政文化研究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年轻干部廉洁从政教育管理研究</w:t>
      </w:r>
    </w:p>
    <w:p>
      <w:pPr>
        <w:keepNext w:val="0"/>
        <w:keepLines w:val="0"/>
        <w:pageBreakBefore w:val="0"/>
        <w:numPr>
          <w:ilvl w:val="0"/>
          <w:numId w:val="0"/>
        </w:numPr>
        <w:kinsoku/>
        <w:wordWrap/>
        <w:overflowPunct/>
        <w:autoSpaceDE/>
        <w:autoSpaceDN/>
        <w:bidi w:val="0"/>
        <w:spacing w:line="540" w:lineRule="exact"/>
        <w:ind w:left="0"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eastAsia="zh-CN"/>
        </w:rPr>
        <w:t>深入推进党风廉政建设和反腐败斗争对策研究</w:t>
      </w:r>
    </w:p>
    <w:p>
      <w:pPr>
        <w:keepNext w:val="0"/>
        <w:keepLines w:val="0"/>
        <w:pageBreakBefore w:val="0"/>
        <w:shd w:val="clear" w:color="auto" w:fill="FFFFFF"/>
        <w:kinsoku/>
        <w:wordWrap/>
        <w:overflowPunct/>
        <w:topLinePunct/>
        <w:autoSpaceDE/>
        <w:autoSpaceDN/>
        <w:bidi w:val="0"/>
        <w:spacing w:line="540" w:lineRule="exact"/>
        <w:ind w:left="0" w:leftChars="0" w:firstLine="640" w:firstLineChars="200"/>
        <w:textAlignment w:val="auto"/>
        <w:rPr>
          <w:rFonts w:hint="eastAsia" w:ascii="方正黑体_GBK" w:hAnsi="方正黑体_GBK" w:eastAsia="方正黑体_GBK" w:cs="方正黑体_GBK"/>
          <w:color w:val="auto"/>
          <w:sz w:val="32"/>
          <w:szCs w:val="32"/>
          <w:u w:val="none"/>
          <w:lang w:eastAsia="zh-CN"/>
        </w:rPr>
      </w:pPr>
      <w:r>
        <w:rPr>
          <w:rFonts w:hint="eastAsia" w:ascii="方正黑体_GBK" w:hAnsi="方正黑体_GBK" w:eastAsia="方正黑体_GBK" w:cs="方正黑体_GBK"/>
          <w:sz w:val="32"/>
          <w:szCs w:val="32"/>
          <w:u w:val="none"/>
          <w:lang w:val="en-US" w:eastAsia="zh-CN"/>
        </w:rPr>
        <w:t>五、</w:t>
      </w:r>
      <w:r>
        <w:rPr>
          <w:rFonts w:hint="eastAsia" w:ascii="方正黑体_GBK" w:hAnsi="方正黑体_GBK" w:eastAsia="方正黑体_GBK" w:cs="方正黑体_GBK"/>
          <w:color w:val="auto"/>
          <w:sz w:val="32"/>
          <w:szCs w:val="32"/>
          <w:u w:val="none"/>
          <w:lang w:eastAsia="zh-CN"/>
        </w:rPr>
        <w:t>青少年发展联合课题</w:t>
      </w:r>
    </w:p>
    <w:p>
      <w:pPr>
        <w:keepNext w:val="0"/>
        <w:keepLines w:val="0"/>
        <w:pageBreakBefore w:val="0"/>
        <w:shd w:val="clear" w:color="auto" w:fill="FFFFFF"/>
        <w:kinsoku/>
        <w:wordWrap/>
        <w:overflowPunct/>
        <w:topLinePunct/>
        <w:autoSpaceDE/>
        <w:autoSpaceDN/>
        <w:bidi w:val="0"/>
        <w:spacing w:line="54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青少年思想意识形态现状、现实困境及实践路径研究</w:t>
      </w:r>
    </w:p>
    <w:p>
      <w:pPr>
        <w:keepNext w:val="0"/>
        <w:keepLines w:val="0"/>
        <w:pageBreakBefore w:val="0"/>
        <w:shd w:val="clear" w:color="auto" w:fill="FFFFFF"/>
        <w:kinsoku/>
        <w:wordWrap/>
        <w:overflowPunct/>
        <w:topLinePunct/>
        <w:autoSpaceDE/>
        <w:autoSpaceDN/>
        <w:bidi w:val="0"/>
        <w:spacing w:line="54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新形势下青少年群体特征变化、风险挑战及对策研究</w:t>
      </w:r>
    </w:p>
    <w:p>
      <w:pPr>
        <w:keepNext w:val="0"/>
        <w:keepLines w:val="0"/>
        <w:pageBreakBefore w:val="0"/>
        <w:shd w:val="clear" w:color="auto" w:fill="FFFFFF"/>
        <w:kinsoku/>
        <w:wordWrap/>
        <w:overflowPunct/>
        <w:topLinePunct/>
        <w:autoSpaceDE/>
        <w:autoSpaceDN/>
        <w:bidi w:val="0"/>
        <w:spacing w:line="54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新时期青年就业创业现状及对策研究</w:t>
      </w:r>
    </w:p>
    <w:p>
      <w:pPr>
        <w:keepNext w:val="0"/>
        <w:keepLines w:val="0"/>
        <w:pageBreakBefore w:val="0"/>
        <w:shd w:val="clear" w:color="auto" w:fill="FFFFFF"/>
        <w:kinsoku/>
        <w:wordWrap/>
        <w:overflowPunct/>
        <w:topLinePunct/>
        <w:autoSpaceDE/>
        <w:autoSpaceDN/>
        <w:bidi w:val="0"/>
        <w:spacing w:line="54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青少年群体心理特征、风险挑战及对策研究</w:t>
      </w:r>
    </w:p>
    <w:p>
      <w:pPr>
        <w:keepNext w:val="0"/>
        <w:keepLines w:val="0"/>
        <w:pageBreakBefore w:val="0"/>
        <w:shd w:val="clear" w:color="auto" w:fill="FFFFFF"/>
        <w:kinsoku/>
        <w:wordWrap/>
        <w:overflowPunct/>
        <w:topLinePunct/>
        <w:autoSpaceDE/>
        <w:autoSpaceDN/>
        <w:bidi w:val="0"/>
        <w:spacing w:line="54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青年群体婚姻状况研究</w:t>
      </w:r>
    </w:p>
    <w:p>
      <w:pPr>
        <w:keepNext w:val="0"/>
        <w:keepLines w:val="0"/>
        <w:pageBreakBefore w:val="0"/>
        <w:shd w:val="clear" w:color="auto" w:fill="FFFFFF"/>
        <w:kinsoku/>
        <w:wordWrap/>
        <w:overflowPunct/>
        <w:topLinePunct/>
        <w:autoSpaceDE/>
        <w:autoSpaceDN/>
        <w:bidi w:val="0"/>
        <w:spacing w:line="54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青年人口数量现状、变动趋势及对策研究</w:t>
      </w:r>
    </w:p>
    <w:p>
      <w:pPr>
        <w:keepNext w:val="0"/>
        <w:keepLines w:val="0"/>
        <w:pageBreakBefore w:val="0"/>
        <w:shd w:val="clear" w:color="auto" w:fill="FFFFFF"/>
        <w:kinsoku/>
        <w:wordWrap/>
        <w:overflowPunct/>
        <w:topLinePunct/>
        <w:autoSpaceDE/>
        <w:autoSpaceDN/>
        <w:bidi w:val="0"/>
        <w:spacing w:line="54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p>
    <w:sectPr>
      <w:footerReference r:id="rId5" w:type="default"/>
      <w:pgSz w:w="11906" w:h="16838"/>
      <w:pgMar w:top="2098" w:right="1531" w:bottom="1985" w:left="1531" w:header="851" w:footer="1701" w:gutter="0"/>
      <w:pgNumType w:fmt="decimal"/>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false"/>
  <w:bordersDoNotSurroundFooter w:val="false"/>
  <w:doNotTrackMoves/>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1F06"/>
    <w:rsid w:val="00006EDC"/>
    <w:rsid w:val="00013836"/>
    <w:rsid w:val="00020407"/>
    <w:rsid w:val="0003347B"/>
    <w:rsid w:val="0004022C"/>
    <w:rsid w:val="000436FB"/>
    <w:rsid w:val="000554D0"/>
    <w:rsid w:val="00074067"/>
    <w:rsid w:val="00075ACA"/>
    <w:rsid w:val="00096338"/>
    <w:rsid w:val="000A3DAD"/>
    <w:rsid w:val="000C516A"/>
    <w:rsid w:val="000C6FFD"/>
    <w:rsid w:val="000D0140"/>
    <w:rsid w:val="000D2AD3"/>
    <w:rsid w:val="000D6514"/>
    <w:rsid w:val="000E0945"/>
    <w:rsid w:val="000E60F3"/>
    <w:rsid w:val="000E6334"/>
    <w:rsid w:val="000F6643"/>
    <w:rsid w:val="001001E7"/>
    <w:rsid w:val="00102490"/>
    <w:rsid w:val="00114929"/>
    <w:rsid w:val="00123CC8"/>
    <w:rsid w:val="00130D99"/>
    <w:rsid w:val="001324B0"/>
    <w:rsid w:val="0014043C"/>
    <w:rsid w:val="00144782"/>
    <w:rsid w:val="00145ACF"/>
    <w:rsid w:val="001476EC"/>
    <w:rsid w:val="00150E50"/>
    <w:rsid w:val="00154032"/>
    <w:rsid w:val="00176513"/>
    <w:rsid w:val="001B6455"/>
    <w:rsid w:val="001B7FF7"/>
    <w:rsid w:val="001C321A"/>
    <w:rsid w:val="001C4B22"/>
    <w:rsid w:val="001E4E80"/>
    <w:rsid w:val="001F6A44"/>
    <w:rsid w:val="00205B54"/>
    <w:rsid w:val="00226FAC"/>
    <w:rsid w:val="00231AC3"/>
    <w:rsid w:val="00233FFA"/>
    <w:rsid w:val="00235B29"/>
    <w:rsid w:val="00237727"/>
    <w:rsid w:val="00247083"/>
    <w:rsid w:val="00256424"/>
    <w:rsid w:val="00263D7C"/>
    <w:rsid w:val="00276BA9"/>
    <w:rsid w:val="002868D6"/>
    <w:rsid w:val="00287A4A"/>
    <w:rsid w:val="00291236"/>
    <w:rsid w:val="00296222"/>
    <w:rsid w:val="002B4256"/>
    <w:rsid w:val="002C6F77"/>
    <w:rsid w:val="002C7A4A"/>
    <w:rsid w:val="002D3C34"/>
    <w:rsid w:val="002E3B24"/>
    <w:rsid w:val="00310F1D"/>
    <w:rsid w:val="00334159"/>
    <w:rsid w:val="00334A7B"/>
    <w:rsid w:val="00345C26"/>
    <w:rsid w:val="0035106F"/>
    <w:rsid w:val="00377CA3"/>
    <w:rsid w:val="0039211B"/>
    <w:rsid w:val="003A0688"/>
    <w:rsid w:val="003A60CB"/>
    <w:rsid w:val="003C563C"/>
    <w:rsid w:val="003D1795"/>
    <w:rsid w:val="003D551C"/>
    <w:rsid w:val="003D7D20"/>
    <w:rsid w:val="003E27E7"/>
    <w:rsid w:val="003F2056"/>
    <w:rsid w:val="003F2458"/>
    <w:rsid w:val="00426F0F"/>
    <w:rsid w:val="004442C7"/>
    <w:rsid w:val="004702D4"/>
    <w:rsid w:val="00491B6F"/>
    <w:rsid w:val="004C00C9"/>
    <w:rsid w:val="004C5BA3"/>
    <w:rsid w:val="004C7AE8"/>
    <w:rsid w:val="004E5344"/>
    <w:rsid w:val="005078BE"/>
    <w:rsid w:val="00513CB3"/>
    <w:rsid w:val="005153CB"/>
    <w:rsid w:val="005169D2"/>
    <w:rsid w:val="00517345"/>
    <w:rsid w:val="00520CE2"/>
    <w:rsid w:val="00530F12"/>
    <w:rsid w:val="005354EB"/>
    <w:rsid w:val="00546F7F"/>
    <w:rsid w:val="00556344"/>
    <w:rsid w:val="00560635"/>
    <w:rsid w:val="00565C8B"/>
    <w:rsid w:val="00565CCE"/>
    <w:rsid w:val="00565E5F"/>
    <w:rsid w:val="00571E41"/>
    <w:rsid w:val="00583F8B"/>
    <w:rsid w:val="005A414F"/>
    <w:rsid w:val="005A5CF5"/>
    <w:rsid w:val="005B291E"/>
    <w:rsid w:val="005B73EE"/>
    <w:rsid w:val="005E4D1E"/>
    <w:rsid w:val="005F43B3"/>
    <w:rsid w:val="005F5C2C"/>
    <w:rsid w:val="005F792C"/>
    <w:rsid w:val="006070FD"/>
    <w:rsid w:val="006222DF"/>
    <w:rsid w:val="00630C1D"/>
    <w:rsid w:val="0064250C"/>
    <w:rsid w:val="00656412"/>
    <w:rsid w:val="00665068"/>
    <w:rsid w:val="00690E72"/>
    <w:rsid w:val="00697D0D"/>
    <w:rsid w:val="006D61AC"/>
    <w:rsid w:val="00721A24"/>
    <w:rsid w:val="00735566"/>
    <w:rsid w:val="00735DAF"/>
    <w:rsid w:val="00737D47"/>
    <w:rsid w:val="00774BE8"/>
    <w:rsid w:val="00784907"/>
    <w:rsid w:val="00791DA4"/>
    <w:rsid w:val="00793C72"/>
    <w:rsid w:val="007B3B06"/>
    <w:rsid w:val="007C338D"/>
    <w:rsid w:val="007C43BA"/>
    <w:rsid w:val="007E30BC"/>
    <w:rsid w:val="007F29B3"/>
    <w:rsid w:val="00801462"/>
    <w:rsid w:val="00801CDD"/>
    <w:rsid w:val="00807978"/>
    <w:rsid w:val="00810C14"/>
    <w:rsid w:val="00811CD6"/>
    <w:rsid w:val="00821F06"/>
    <w:rsid w:val="00823B13"/>
    <w:rsid w:val="008245A0"/>
    <w:rsid w:val="00835E5D"/>
    <w:rsid w:val="00873728"/>
    <w:rsid w:val="00896798"/>
    <w:rsid w:val="008A3B56"/>
    <w:rsid w:val="008A65C6"/>
    <w:rsid w:val="008B2FFB"/>
    <w:rsid w:val="008B3001"/>
    <w:rsid w:val="008B3281"/>
    <w:rsid w:val="008C670F"/>
    <w:rsid w:val="008E0A2F"/>
    <w:rsid w:val="008F12F8"/>
    <w:rsid w:val="008F3ABB"/>
    <w:rsid w:val="008F6003"/>
    <w:rsid w:val="009010A8"/>
    <w:rsid w:val="00907AC5"/>
    <w:rsid w:val="009268F1"/>
    <w:rsid w:val="009755CB"/>
    <w:rsid w:val="009857FE"/>
    <w:rsid w:val="009A1FC3"/>
    <w:rsid w:val="009B2A57"/>
    <w:rsid w:val="009C2B28"/>
    <w:rsid w:val="009C325C"/>
    <w:rsid w:val="009D3824"/>
    <w:rsid w:val="009D5C0F"/>
    <w:rsid w:val="009D7F7A"/>
    <w:rsid w:val="009E36BA"/>
    <w:rsid w:val="009F2931"/>
    <w:rsid w:val="009F2AE7"/>
    <w:rsid w:val="00A06704"/>
    <w:rsid w:val="00A216F8"/>
    <w:rsid w:val="00A251FA"/>
    <w:rsid w:val="00A2689F"/>
    <w:rsid w:val="00A32531"/>
    <w:rsid w:val="00A335D4"/>
    <w:rsid w:val="00A44847"/>
    <w:rsid w:val="00A44A39"/>
    <w:rsid w:val="00A504AA"/>
    <w:rsid w:val="00A52085"/>
    <w:rsid w:val="00A618A9"/>
    <w:rsid w:val="00A6472E"/>
    <w:rsid w:val="00A72A0C"/>
    <w:rsid w:val="00A76F18"/>
    <w:rsid w:val="00A801FA"/>
    <w:rsid w:val="00A81371"/>
    <w:rsid w:val="00AA0BB1"/>
    <w:rsid w:val="00AB1A9B"/>
    <w:rsid w:val="00AB7BAA"/>
    <w:rsid w:val="00AC63EC"/>
    <w:rsid w:val="00AE08D9"/>
    <w:rsid w:val="00AF062C"/>
    <w:rsid w:val="00AF2044"/>
    <w:rsid w:val="00B221A4"/>
    <w:rsid w:val="00B23892"/>
    <w:rsid w:val="00B243AE"/>
    <w:rsid w:val="00B24B86"/>
    <w:rsid w:val="00B2740A"/>
    <w:rsid w:val="00B42ABE"/>
    <w:rsid w:val="00B468F5"/>
    <w:rsid w:val="00B6342E"/>
    <w:rsid w:val="00B66E8E"/>
    <w:rsid w:val="00B72A55"/>
    <w:rsid w:val="00B75922"/>
    <w:rsid w:val="00B82F37"/>
    <w:rsid w:val="00B83A2C"/>
    <w:rsid w:val="00BA6613"/>
    <w:rsid w:val="00BB3B25"/>
    <w:rsid w:val="00BC1E07"/>
    <w:rsid w:val="00BC4FCE"/>
    <w:rsid w:val="00BD18DE"/>
    <w:rsid w:val="00BD1AA3"/>
    <w:rsid w:val="00BD3C6A"/>
    <w:rsid w:val="00BD713D"/>
    <w:rsid w:val="00BE1EFE"/>
    <w:rsid w:val="00BE56DE"/>
    <w:rsid w:val="00BF07D6"/>
    <w:rsid w:val="00C028A7"/>
    <w:rsid w:val="00C04374"/>
    <w:rsid w:val="00C1159D"/>
    <w:rsid w:val="00C12802"/>
    <w:rsid w:val="00C148DB"/>
    <w:rsid w:val="00C25656"/>
    <w:rsid w:val="00C31D01"/>
    <w:rsid w:val="00C42B34"/>
    <w:rsid w:val="00C61D51"/>
    <w:rsid w:val="00C748E5"/>
    <w:rsid w:val="00C83B24"/>
    <w:rsid w:val="00CA4E64"/>
    <w:rsid w:val="00CB72E6"/>
    <w:rsid w:val="00CC2F5C"/>
    <w:rsid w:val="00CC4211"/>
    <w:rsid w:val="00CD1542"/>
    <w:rsid w:val="00CD5AAE"/>
    <w:rsid w:val="00CF0EA7"/>
    <w:rsid w:val="00D007FD"/>
    <w:rsid w:val="00D076DD"/>
    <w:rsid w:val="00D23600"/>
    <w:rsid w:val="00D24372"/>
    <w:rsid w:val="00D37BB8"/>
    <w:rsid w:val="00D43759"/>
    <w:rsid w:val="00D50202"/>
    <w:rsid w:val="00D57807"/>
    <w:rsid w:val="00D840E6"/>
    <w:rsid w:val="00DA2B32"/>
    <w:rsid w:val="00DA373D"/>
    <w:rsid w:val="00DA6BE0"/>
    <w:rsid w:val="00DB21B7"/>
    <w:rsid w:val="00DB51B3"/>
    <w:rsid w:val="00DC5607"/>
    <w:rsid w:val="00DC77B8"/>
    <w:rsid w:val="00DD57C7"/>
    <w:rsid w:val="00DE2918"/>
    <w:rsid w:val="00DF3118"/>
    <w:rsid w:val="00DF6BE3"/>
    <w:rsid w:val="00E03D83"/>
    <w:rsid w:val="00E30714"/>
    <w:rsid w:val="00E42E33"/>
    <w:rsid w:val="00E430CA"/>
    <w:rsid w:val="00E516DC"/>
    <w:rsid w:val="00E52205"/>
    <w:rsid w:val="00E61E97"/>
    <w:rsid w:val="00E84604"/>
    <w:rsid w:val="00E97E09"/>
    <w:rsid w:val="00EA4D85"/>
    <w:rsid w:val="00EA6C6B"/>
    <w:rsid w:val="00EB0933"/>
    <w:rsid w:val="00EB10FC"/>
    <w:rsid w:val="00EB3AB2"/>
    <w:rsid w:val="00EB474D"/>
    <w:rsid w:val="00F1204C"/>
    <w:rsid w:val="00F50C4A"/>
    <w:rsid w:val="00F674B1"/>
    <w:rsid w:val="00F929B4"/>
    <w:rsid w:val="00FC24EC"/>
    <w:rsid w:val="00FD2C95"/>
    <w:rsid w:val="00FD3089"/>
    <w:rsid w:val="00FD49BC"/>
    <w:rsid w:val="00FD5DC6"/>
    <w:rsid w:val="00FE2ECA"/>
    <w:rsid w:val="01D506AC"/>
    <w:rsid w:val="0F2BEC25"/>
    <w:rsid w:val="137FFB1E"/>
    <w:rsid w:val="138E0B5D"/>
    <w:rsid w:val="19ABFEED"/>
    <w:rsid w:val="1BE65907"/>
    <w:rsid w:val="1FD7092C"/>
    <w:rsid w:val="321147B2"/>
    <w:rsid w:val="32590BC6"/>
    <w:rsid w:val="37DF1B37"/>
    <w:rsid w:val="3AB8BA52"/>
    <w:rsid w:val="3EFFE4A8"/>
    <w:rsid w:val="3FBB181B"/>
    <w:rsid w:val="47F7BDF0"/>
    <w:rsid w:val="4DB70E9E"/>
    <w:rsid w:val="57B44411"/>
    <w:rsid w:val="58417A82"/>
    <w:rsid w:val="5F66D47C"/>
    <w:rsid w:val="673FA541"/>
    <w:rsid w:val="68996508"/>
    <w:rsid w:val="6CC4036B"/>
    <w:rsid w:val="6DFEC8FE"/>
    <w:rsid w:val="6F5D66D7"/>
    <w:rsid w:val="6FF2E406"/>
    <w:rsid w:val="737ECF4C"/>
    <w:rsid w:val="75FF3EAE"/>
    <w:rsid w:val="76AEF1F1"/>
    <w:rsid w:val="79DE0FFA"/>
    <w:rsid w:val="79EF44C1"/>
    <w:rsid w:val="7AFEE873"/>
    <w:rsid w:val="7B5F1DE9"/>
    <w:rsid w:val="7BBBDA65"/>
    <w:rsid w:val="7BF90DA3"/>
    <w:rsid w:val="7D9579BA"/>
    <w:rsid w:val="7E5E5A6F"/>
    <w:rsid w:val="7EAFC74D"/>
    <w:rsid w:val="7EF36085"/>
    <w:rsid w:val="7EF77D08"/>
    <w:rsid w:val="7F27FA88"/>
    <w:rsid w:val="7FF78818"/>
    <w:rsid w:val="7FFF074C"/>
    <w:rsid w:val="CCA390A6"/>
    <w:rsid w:val="CFF34497"/>
    <w:rsid w:val="D99F6C6B"/>
    <w:rsid w:val="DC6FEC10"/>
    <w:rsid w:val="DDED1D9D"/>
    <w:rsid w:val="DDF3C897"/>
    <w:rsid w:val="DF57446F"/>
    <w:rsid w:val="DFF74550"/>
    <w:rsid w:val="E3FE1314"/>
    <w:rsid w:val="E6DB9C70"/>
    <w:rsid w:val="E7FC136A"/>
    <w:rsid w:val="EA5BED7E"/>
    <w:rsid w:val="EB5B0A3B"/>
    <w:rsid w:val="EBDDACE2"/>
    <w:rsid w:val="EEFF10FC"/>
    <w:rsid w:val="EFBD7300"/>
    <w:rsid w:val="F47920D2"/>
    <w:rsid w:val="F76FBB07"/>
    <w:rsid w:val="F7DF7D22"/>
    <w:rsid w:val="F7FFEEF3"/>
    <w:rsid w:val="FAEB7BC4"/>
    <w:rsid w:val="FBDB9318"/>
    <w:rsid w:val="FCEFCC6E"/>
    <w:rsid w:val="FCFF69D3"/>
    <w:rsid w:val="FE7F01C1"/>
    <w:rsid w:val="FF570229"/>
    <w:rsid w:val="FFDFCADF"/>
    <w:rsid w:val="FFEFB3E1"/>
    <w:rsid w:val="FFFFE3D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name="Hyperlink" w:locked="1"/>
    <w:lsdException w:uiPriority="99" w:name="FollowedHyperlink" w:locked="1"/>
    <w:lsdException w:qFormat="1" w:unhideWhenUsed="0" w:uiPriority="0"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20" w:lineRule="exact"/>
      <w:jc w:val="both"/>
    </w:pPr>
    <w:rPr>
      <w:rFonts w:ascii="Calibri" w:hAnsi="Calibri" w:eastAsia="宋体" w:cs="Times New Roman"/>
      <w:kern w:val="2"/>
      <w:sz w:val="21"/>
      <w:szCs w:val="22"/>
      <w:lang w:val="en-US" w:eastAsia="zh-CN" w:bidi="ar-SA"/>
    </w:rPr>
  </w:style>
  <w:style w:type="paragraph" w:styleId="2">
    <w:name w:val="heading 3"/>
    <w:basedOn w:val="1"/>
    <w:next w:val="1"/>
    <w:link w:val="14"/>
    <w:qFormat/>
    <w:uiPriority w:val="99"/>
    <w:pPr>
      <w:widowControl/>
      <w:spacing w:before="100" w:beforeAutospacing="1" w:after="100" w:afterAutospacing="1" w:line="240" w:lineRule="auto"/>
      <w:jc w:val="left"/>
      <w:outlineLvl w:val="2"/>
    </w:pPr>
    <w:rPr>
      <w:rFonts w:ascii="宋体" w:hAnsi="宋体" w:cs="宋体"/>
      <w:b/>
      <w:bCs/>
      <w:kern w:val="0"/>
      <w:sz w:val="27"/>
      <w:szCs w:val="27"/>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8"/>
    <w:semiHidden/>
    <w:qFormat/>
    <w:locked/>
    <w:uiPriority w:val="99"/>
    <w:pPr>
      <w:spacing w:line="240" w:lineRule="auto"/>
    </w:pPr>
    <w:rPr>
      <w:sz w:val="18"/>
      <w:szCs w:val="18"/>
    </w:rPr>
  </w:style>
  <w:style w:type="paragraph" w:styleId="4">
    <w:name w:val="footer"/>
    <w:basedOn w:val="1"/>
    <w:link w:val="15"/>
    <w:semiHidden/>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16"/>
    <w:semiHidden/>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basedOn w:val="1"/>
    <w:qFormat/>
    <w:locked/>
    <w:uiPriority w:val="99"/>
    <w:pPr>
      <w:widowControl/>
      <w:spacing w:before="100" w:beforeAutospacing="1" w:after="100" w:afterAutospacing="1" w:line="240" w:lineRule="auto"/>
      <w:jc w:val="left"/>
    </w:pPr>
    <w:rPr>
      <w:rFonts w:ascii="宋体" w:hAnsi="宋体" w:cs="宋体"/>
      <w:kern w:val="0"/>
      <w:sz w:val="24"/>
      <w:szCs w:val="24"/>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page number"/>
    <w:basedOn w:val="9"/>
    <w:qFormat/>
    <w:uiPriority w:val="99"/>
    <w:rPr>
      <w:rFonts w:cs="Times New Roman"/>
    </w:rPr>
  </w:style>
  <w:style w:type="character" w:styleId="12">
    <w:name w:val="Emphasis"/>
    <w:basedOn w:val="9"/>
    <w:qFormat/>
    <w:uiPriority w:val="99"/>
    <w:rPr>
      <w:rFonts w:cs="Times New Roman"/>
      <w:i/>
      <w:iCs/>
    </w:rPr>
  </w:style>
  <w:style w:type="character" w:styleId="13">
    <w:name w:val="Hyperlink"/>
    <w:basedOn w:val="9"/>
    <w:semiHidden/>
    <w:qFormat/>
    <w:locked/>
    <w:uiPriority w:val="99"/>
    <w:rPr>
      <w:rFonts w:cs="Times New Roman"/>
      <w:color w:val="0000FF"/>
      <w:u w:val="single"/>
    </w:rPr>
  </w:style>
  <w:style w:type="character" w:customStyle="1" w:styleId="14">
    <w:name w:val="标题 3 Char"/>
    <w:basedOn w:val="9"/>
    <w:link w:val="2"/>
    <w:qFormat/>
    <w:locked/>
    <w:uiPriority w:val="99"/>
    <w:rPr>
      <w:rFonts w:ascii="宋体" w:eastAsia="宋体" w:cs="宋体"/>
      <w:b/>
      <w:bCs/>
      <w:sz w:val="27"/>
      <w:szCs w:val="27"/>
    </w:rPr>
  </w:style>
  <w:style w:type="character" w:customStyle="1" w:styleId="15">
    <w:name w:val="页脚 Char"/>
    <w:basedOn w:val="9"/>
    <w:link w:val="4"/>
    <w:semiHidden/>
    <w:qFormat/>
    <w:locked/>
    <w:uiPriority w:val="99"/>
    <w:rPr>
      <w:rFonts w:cs="Times New Roman"/>
      <w:sz w:val="18"/>
    </w:rPr>
  </w:style>
  <w:style w:type="character" w:customStyle="1" w:styleId="16">
    <w:name w:val="页眉 Char"/>
    <w:basedOn w:val="9"/>
    <w:link w:val="5"/>
    <w:semiHidden/>
    <w:qFormat/>
    <w:locked/>
    <w:uiPriority w:val="99"/>
    <w:rPr>
      <w:rFonts w:cs="Times New Roman"/>
      <w:sz w:val="18"/>
    </w:rPr>
  </w:style>
  <w:style w:type="paragraph" w:customStyle="1" w:styleId="17">
    <w:name w:val="Char"/>
    <w:basedOn w:val="1"/>
    <w:qFormat/>
    <w:uiPriority w:val="99"/>
    <w:pPr>
      <w:spacing w:line="240" w:lineRule="auto"/>
    </w:pPr>
    <w:rPr>
      <w:rFonts w:ascii="Times New Roman" w:hAnsi="Times New Roman"/>
      <w:szCs w:val="24"/>
    </w:rPr>
  </w:style>
  <w:style w:type="character" w:customStyle="1" w:styleId="18">
    <w:name w:val="批注框文本 Char"/>
    <w:basedOn w:val="9"/>
    <w:link w:val="3"/>
    <w:semiHidden/>
    <w:qFormat/>
    <w:locked/>
    <w:uiPriority w:val="99"/>
    <w:rPr>
      <w:rFonts w:cs="Times New Roman"/>
      <w:kern w:val="2"/>
      <w:sz w:val="18"/>
      <w:szCs w:val="18"/>
    </w:rPr>
  </w:style>
  <w:style w:type="character" w:customStyle="1" w:styleId="19">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797</Words>
  <Characters>4546</Characters>
  <Lines>37</Lines>
  <Paragraphs>10</Paragraphs>
  <TotalTime>0</TotalTime>
  <ScaleCrop>false</ScaleCrop>
  <LinksUpToDate>false</LinksUpToDate>
  <CharactersWithSpaces>5333</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2021-02-18T07:44:00Z</dcterms:created>
  <dc:creator>uos</dc:creator>
  <cp:lastModifiedBy>uos</cp:lastModifiedBy>
  <cp:lastPrinted>2022-03-07T02:12:00Z</cp:lastPrinted>
  <dcterms:modified xsi:type="dcterms:W3CDTF">2022-03-25T16:04:06Z</dcterms:modified>
  <dc:title>盐城市哲学社会科学联合会</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